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FCE2EFF" w14:textId="70498E7F" w:rsidR="005E3CB1" w:rsidRDefault="00000000" w:rsidP="0087185F">
      <w:pPr>
        <w:pStyle w:val="Heading1"/>
        <w:spacing w:after="0" w:line="360" w:lineRule="auto"/>
      </w:pPr>
      <w:r>
        <w:t>M5L19</w:t>
      </w:r>
      <w:r w:rsidR="00DD35BE">
        <w:t>.</w:t>
      </w:r>
      <w:r>
        <w:t xml:space="preserve"> Strategic Transformation</w:t>
      </w:r>
    </w:p>
    <w:p w14:paraId="1F277114" w14:textId="77777777" w:rsidR="00DD35BE" w:rsidRDefault="00DD35BE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9B0368C" w14:textId="3C0EC751" w:rsidR="00DD35BE" w:rsidRDefault="00C974EA" w:rsidP="0087185F">
      <w:pPr>
        <w:pStyle w:val="Heading2"/>
        <w:spacing w:before="120" w:line="360" w:lineRule="auto"/>
      </w:pPr>
      <w:r>
        <w:t>Slide #1</w:t>
      </w:r>
      <w:r w:rsidR="00DD35BE" w:rsidRPr="00DD35BE">
        <w:drawing>
          <wp:inline distT="0" distB="0" distL="0" distR="0" wp14:anchorId="271F7B80" wp14:editId="33649689">
            <wp:extent cx="5731510" cy="3237865"/>
            <wp:effectExtent l="0" t="0" r="2540" b="635"/>
            <wp:docPr id="1221071989" name="Picture 1" descr="Strategic Trans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71989" name="Picture 1" descr="Strategic Transformation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1BD9" w14:textId="0EEDF6A4" w:rsid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We will use the Ford Motor case study to illustrate the role strategy plays in driving strategic investment decisions and introduce strategic portfolio management, a systematic framework for strategic decision</w:t>
      </w:r>
      <w:r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>making.</w:t>
      </w:r>
    </w:p>
    <w:p w14:paraId="3F607F4B" w14:textId="0A4AC4F4" w:rsidR="00DD35BE" w:rsidRDefault="00C974EA" w:rsidP="0087185F">
      <w:pPr>
        <w:pStyle w:val="Heading2"/>
        <w:spacing w:before="120" w:line="360" w:lineRule="auto"/>
      </w:pPr>
      <w:r>
        <w:lastRenderedPageBreak/>
        <w:t>Slide #2</w:t>
      </w:r>
      <w:r w:rsidRPr="00C974EA">
        <w:drawing>
          <wp:inline distT="0" distB="0" distL="0" distR="0" wp14:anchorId="734A139A" wp14:editId="092C3BAE">
            <wp:extent cx="5731510" cy="3234690"/>
            <wp:effectExtent l="0" t="0" r="2540" b="3810"/>
            <wp:docPr id="1217877559" name="Picture 1" descr="Ford Became America's No.2 EV Brand in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77559" name="Picture 1" descr="Ford Became America's No.2 EV Brand in 20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2EE" w14:textId="77777777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Ford Motor underwent a significant transformation to become the number two American electric vehicle company in 2023.</w:t>
      </w:r>
    </w:p>
    <w:p w14:paraId="17B8F861" w14:textId="77777777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Ford's 2023 sales totaled 2 million vehicles, up 7.1%</w:t>
      </w:r>
      <w:r>
        <w:rPr>
          <w:rFonts w:ascii="Open Sans" w:hAnsi="Open Sans" w:cs="Open Sans"/>
          <w:sz w:val="24"/>
          <w:szCs w:val="24"/>
        </w:rPr>
        <w:t>.</w:t>
      </w:r>
      <w:r w:rsidRPr="00DD35BE">
        <w:rPr>
          <w:rFonts w:ascii="Open Sans" w:hAnsi="Open Sans" w:cs="Open Sans"/>
          <w:sz w:val="24"/>
          <w:szCs w:val="24"/>
        </w:rPr>
        <w:t xml:space="preserve"> </w:t>
      </w:r>
    </w:p>
    <w:p w14:paraId="2663B07F" w14:textId="5E96661F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The company sold 72,000 all electric vehicles, including the Mustang Mach</w:t>
      </w:r>
      <w:r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>E, F</w:t>
      </w:r>
      <w:r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>150 Lightning, and E</w:t>
      </w:r>
      <w:r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>Transit, making Ford the second leading brand in the EV segment, after Tesla in America.</w:t>
      </w:r>
    </w:p>
    <w:p w14:paraId="3DD27BF5" w14:textId="0E00D037" w:rsidR="00C974EA" w:rsidRDefault="00C974EA" w:rsidP="0087185F">
      <w:pPr>
        <w:pStyle w:val="Heading2"/>
        <w:spacing w:before="120" w:line="360" w:lineRule="auto"/>
      </w:pPr>
      <w:r>
        <w:lastRenderedPageBreak/>
        <w:t>Slide #3</w:t>
      </w:r>
      <w:r w:rsidRPr="00C974EA">
        <w:drawing>
          <wp:inline distT="0" distB="0" distL="0" distR="0" wp14:anchorId="76E09CE8" wp14:editId="4C4AFFAC">
            <wp:extent cx="5731510" cy="3234690"/>
            <wp:effectExtent l="0" t="0" r="2540" b="3810"/>
            <wp:docPr id="680722950" name="Picture 1" descr="Ford Motor Corporate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22950" name="Picture 1" descr="Ford Motor Corporate Strateg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CEE6" w14:textId="7092F126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Ford's business performance aligns with the company's corporate strategy, communicated as the Ford Plus Plan, which leverages existing strengths, new capabilities, </w:t>
      </w:r>
      <w:r w:rsidRPr="00DD35BE">
        <w:rPr>
          <w:rFonts w:ascii="Open Sans" w:hAnsi="Open Sans" w:cs="Open Sans"/>
          <w:sz w:val="24"/>
          <w:szCs w:val="24"/>
        </w:rPr>
        <w:t>and</w:t>
      </w:r>
      <w:r w:rsidRPr="00DD35BE">
        <w:rPr>
          <w:rFonts w:ascii="Open Sans" w:hAnsi="Open Sans" w:cs="Open Sans"/>
          <w:sz w:val="24"/>
          <w:szCs w:val="24"/>
        </w:rPr>
        <w:t xml:space="preserve"> customer relationships to enhance experiences and deepen loyalty.</w:t>
      </w:r>
    </w:p>
    <w:p w14:paraId="64AFCB8F" w14:textId="77777777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Ford's corporate strategy encompasses three key product segments. </w:t>
      </w:r>
    </w:p>
    <w:p w14:paraId="4104571A" w14:textId="00991202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Ford Blue</w:t>
      </w:r>
      <w:r>
        <w:rPr>
          <w:rFonts w:ascii="Open Sans" w:hAnsi="Open Sans" w:cs="Open Sans"/>
          <w:sz w:val="24"/>
          <w:szCs w:val="24"/>
        </w:rPr>
        <w:t>.</w:t>
      </w:r>
      <w:r w:rsidRPr="00DD35BE">
        <w:rPr>
          <w:rFonts w:ascii="Open Sans" w:hAnsi="Open Sans" w:cs="Open Sans"/>
          <w:sz w:val="24"/>
          <w:szCs w:val="24"/>
        </w:rPr>
        <w:t xml:space="preserve"> </w:t>
      </w:r>
      <w:r>
        <w:rPr>
          <w:rFonts w:ascii="Open Sans" w:hAnsi="Open Sans" w:cs="Open Sans"/>
          <w:sz w:val="24"/>
          <w:szCs w:val="24"/>
        </w:rPr>
        <w:t>T</w:t>
      </w:r>
      <w:r w:rsidRPr="00DD35BE">
        <w:rPr>
          <w:rFonts w:ascii="Open Sans" w:hAnsi="Open Sans" w:cs="Open Sans"/>
          <w:sz w:val="24"/>
          <w:szCs w:val="24"/>
        </w:rPr>
        <w:t xml:space="preserve">his segment focuses on engineering iconic gas powered and hybrid vehicles. </w:t>
      </w:r>
    </w:p>
    <w:p w14:paraId="5C3600B6" w14:textId="0603208C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It aims to continue delivering reliable and popular Ford trucks. </w:t>
      </w:r>
    </w:p>
    <w:p w14:paraId="4683DA4E" w14:textId="77777777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Sport </w:t>
      </w:r>
      <w:r>
        <w:rPr>
          <w:rFonts w:ascii="Open Sans" w:hAnsi="Open Sans" w:cs="Open Sans"/>
          <w:sz w:val="24"/>
          <w:szCs w:val="24"/>
        </w:rPr>
        <w:t>u</w:t>
      </w:r>
      <w:r w:rsidRPr="00DD35BE">
        <w:rPr>
          <w:rFonts w:ascii="Open Sans" w:hAnsi="Open Sans" w:cs="Open Sans"/>
          <w:sz w:val="24"/>
          <w:szCs w:val="24"/>
        </w:rPr>
        <w:t xml:space="preserve">tility </w:t>
      </w:r>
      <w:r>
        <w:rPr>
          <w:rFonts w:ascii="Open Sans" w:hAnsi="Open Sans" w:cs="Open Sans"/>
          <w:sz w:val="24"/>
          <w:szCs w:val="24"/>
        </w:rPr>
        <w:t>v</w:t>
      </w:r>
      <w:r w:rsidRPr="00DD35BE">
        <w:rPr>
          <w:rFonts w:ascii="Open Sans" w:hAnsi="Open Sans" w:cs="Open Sans"/>
          <w:sz w:val="24"/>
          <w:szCs w:val="24"/>
        </w:rPr>
        <w:t xml:space="preserve">ehicles and </w:t>
      </w:r>
      <w:r>
        <w:rPr>
          <w:rFonts w:ascii="Open Sans" w:hAnsi="Open Sans" w:cs="Open Sans"/>
          <w:sz w:val="24"/>
          <w:szCs w:val="24"/>
        </w:rPr>
        <w:t>c</w:t>
      </w:r>
      <w:r w:rsidRPr="00DD35BE">
        <w:rPr>
          <w:rFonts w:ascii="Open Sans" w:hAnsi="Open Sans" w:cs="Open Sans"/>
          <w:sz w:val="24"/>
          <w:szCs w:val="24"/>
        </w:rPr>
        <w:t xml:space="preserve">ommercial </w:t>
      </w:r>
      <w:r>
        <w:rPr>
          <w:rFonts w:ascii="Open Sans" w:hAnsi="Open Sans" w:cs="Open Sans"/>
          <w:sz w:val="24"/>
          <w:szCs w:val="24"/>
        </w:rPr>
        <w:t>v</w:t>
      </w:r>
      <w:r w:rsidRPr="00DD35BE">
        <w:rPr>
          <w:rFonts w:ascii="Open Sans" w:hAnsi="Open Sans" w:cs="Open Sans"/>
          <w:sz w:val="24"/>
          <w:szCs w:val="24"/>
        </w:rPr>
        <w:t xml:space="preserve">ans, Ford Model </w:t>
      </w:r>
      <w:r>
        <w:rPr>
          <w:rFonts w:ascii="Open Sans" w:hAnsi="Open Sans" w:cs="Open Sans"/>
          <w:sz w:val="24"/>
          <w:szCs w:val="24"/>
        </w:rPr>
        <w:t>e</w:t>
      </w:r>
      <w:r w:rsidRPr="00DD35BE">
        <w:rPr>
          <w:rFonts w:ascii="Open Sans" w:hAnsi="Open Sans" w:cs="Open Sans"/>
          <w:sz w:val="24"/>
          <w:szCs w:val="24"/>
        </w:rPr>
        <w:t xml:space="preserve">. </w:t>
      </w:r>
    </w:p>
    <w:p w14:paraId="42B7FB43" w14:textId="4D8A1CE8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In this segment, the company develops breakthrough electric vehicles and embedded software that provide exceptional digital experiences for all customers.</w:t>
      </w:r>
    </w:p>
    <w:p w14:paraId="73117A98" w14:textId="77777777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The goal is to lead in the connected EV space. </w:t>
      </w:r>
    </w:p>
    <w:p w14:paraId="7DB2660F" w14:textId="4B5ABD00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Ford Pro, this business unit, assists commercial customers in transforming and expanding their businesses by offering tailored vehicles and services.</w:t>
      </w:r>
    </w:p>
    <w:p w14:paraId="33F3CB35" w14:textId="1647A023" w:rsidR="00C974EA" w:rsidRDefault="00C974EA" w:rsidP="0087185F">
      <w:pPr>
        <w:pStyle w:val="Heading2"/>
        <w:spacing w:before="120" w:line="360" w:lineRule="auto"/>
      </w:pPr>
      <w:r>
        <w:lastRenderedPageBreak/>
        <w:t>Slide #4</w:t>
      </w:r>
      <w:r w:rsidRPr="00C974EA">
        <w:drawing>
          <wp:inline distT="0" distB="0" distL="0" distR="0" wp14:anchorId="093725BA" wp14:editId="13C32C41">
            <wp:extent cx="5731510" cy="3220720"/>
            <wp:effectExtent l="0" t="0" r="2540" b="0"/>
            <wp:docPr id="370859404" name="Picture 1" descr="Ford Motor Competitive Advant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9404" name="Picture 1" descr="Ford Motor Competitive Advantage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B7FB" w14:textId="3CE94092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According to Ford's public report, </w:t>
      </w:r>
      <w:r>
        <w:rPr>
          <w:rFonts w:ascii="Open Sans" w:hAnsi="Open Sans" w:cs="Open Sans"/>
          <w:sz w:val="24"/>
          <w:szCs w:val="24"/>
        </w:rPr>
        <w:t>t</w:t>
      </w:r>
      <w:r w:rsidRPr="00DD35BE">
        <w:rPr>
          <w:rFonts w:ascii="Open Sans" w:hAnsi="Open Sans" w:cs="Open Sans"/>
          <w:sz w:val="24"/>
          <w:szCs w:val="24"/>
        </w:rPr>
        <w:t>he company's competitive advantages reside in the following seven areas.</w:t>
      </w:r>
    </w:p>
    <w:p w14:paraId="67078D2F" w14:textId="77777777" w:rsidR="0087185F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Product range. </w:t>
      </w:r>
    </w:p>
    <w:p w14:paraId="4017F327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Ford offers a diverse portfolio of vehicles, including trucks, SUVs, and electric models. </w:t>
      </w:r>
    </w:p>
    <w:p w14:paraId="02FD4FFC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Their iconic F</w:t>
      </w:r>
      <w:r w:rsidR="0061779A"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 xml:space="preserve">series pickup trucks have a loyal customer base and contribute significantly to their success. </w:t>
      </w:r>
    </w:p>
    <w:p w14:paraId="45B64BB3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Supply chain management. </w:t>
      </w:r>
    </w:p>
    <w:p w14:paraId="24790C06" w14:textId="4AF21FAF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Streamlined supply chains enable cost effective production and timely availability of parts and components.</w:t>
      </w:r>
    </w:p>
    <w:p w14:paraId="59786CA1" w14:textId="52CF14FA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Other strengths include technological innovation, human resource management, production and distribution capabilities, among others.</w:t>
      </w:r>
    </w:p>
    <w:p w14:paraId="3071403D" w14:textId="25534F8C" w:rsidR="00C974EA" w:rsidRDefault="00C974EA" w:rsidP="0087185F">
      <w:pPr>
        <w:pStyle w:val="Heading2"/>
        <w:spacing w:before="120" w:line="360" w:lineRule="auto"/>
      </w:pPr>
      <w:r>
        <w:lastRenderedPageBreak/>
        <w:t>Slide #5</w:t>
      </w:r>
      <w:r w:rsidRPr="00C974EA">
        <w:drawing>
          <wp:inline distT="0" distB="0" distL="0" distR="0" wp14:anchorId="36F2BFB9" wp14:editId="66CDB405">
            <wp:extent cx="5731510" cy="3225800"/>
            <wp:effectExtent l="0" t="0" r="2540" b="0"/>
            <wp:docPr id="796780282" name="Picture 1" descr="Strategic Approach Driving Ford Trans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80282" name="Picture 1" descr="Strategic Approach Driving Ford Transformation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FA09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We will explain how Ford's strategic approach has driven its transformation. </w:t>
      </w:r>
    </w:p>
    <w:p w14:paraId="48CC6A52" w14:textId="7D82FBAC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The purpose of these discussions is to illustrate the importance of aligning business decisions with an organization strategy and how to ensure this alignment.</w:t>
      </w:r>
    </w:p>
    <w:p w14:paraId="1340CEFE" w14:textId="4F0116DB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In October 2017, Ford announced its </w:t>
      </w:r>
      <w:r w:rsidR="0061779A">
        <w:rPr>
          <w:rFonts w:ascii="Open Sans" w:hAnsi="Open Sans" w:cs="Open Sans"/>
          <w:sz w:val="24"/>
          <w:szCs w:val="24"/>
        </w:rPr>
        <w:t>s</w:t>
      </w:r>
      <w:r w:rsidRPr="00DD35BE">
        <w:rPr>
          <w:rFonts w:ascii="Open Sans" w:hAnsi="Open Sans" w:cs="Open Sans"/>
          <w:sz w:val="24"/>
          <w:szCs w:val="24"/>
        </w:rPr>
        <w:t xml:space="preserve">trategic </w:t>
      </w:r>
      <w:r w:rsidR="0061779A">
        <w:rPr>
          <w:rFonts w:ascii="Open Sans" w:hAnsi="Open Sans" w:cs="Open Sans"/>
          <w:sz w:val="24"/>
          <w:szCs w:val="24"/>
        </w:rPr>
        <w:t>t</w:t>
      </w:r>
      <w:r w:rsidRPr="00DD35BE">
        <w:rPr>
          <w:rFonts w:ascii="Open Sans" w:hAnsi="Open Sans" w:cs="Open Sans"/>
          <w:sz w:val="24"/>
          <w:szCs w:val="24"/>
        </w:rPr>
        <w:t xml:space="preserve">ransformation </w:t>
      </w:r>
      <w:r w:rsidR="0061779A">
        <w:rPr>
          <w:rFonts w:ascii="Open Sans" w:hAnsi="Open Sans" w:cs="Open Sans"/>
          <w:sz w:val="24"/>
          <w:szCs w:val="24"/>
        </w:rPr>
        <w:t>p</w:t>
      </w:r>
      <w:r w:rsidRPr="00DD35BE">
        <w:rPr>
          <w:rFonts w:ascii="Open Sans" w:hAnsi="Open Sans" w:cs="Open Sans"/>
          <w:sz w:val="24"/>
          <w:szCs w:val="24"/>
        </w:rPr>
        <w:t xml:space="preserve">lan, which includes </w:t>
      </w:r>
      <w:r w:rsidR="0061779A">
        <w:rPr>
          <w:rFonts w:ascii="Open Sans" w:hAnsi="Open Sans" w:cs="Open Sans"/>
          <w:sz w:val="24"/>
          <w:szCs w:val="24"/>
        </w:rPr>
        <w:t>a</w:t>
      </w:r>
      <w:r w:rsidRPr="00DD35BE">
        <w:rPr>
          <w:rFonts w:ascii="Open Sans" w:hAnsi="Open Sans" w:cs="Open Sans"/>
          <w:sz w:val="24"/>
          <w:szCs w:val="24"/>
        </w:rPr>
        <w:t xml:space="preserve">ccelerate the introduction of connected, smart vehicles and services customers want and value. </w:t>
      </w:r>
    </w:p>
    <w:p w14:paraId="17F57F34" w14:textId="2A9C573A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Allocate capital where Ford can win the future. Reallocating capital from cars to SUVs and trucks, and from ICEs to EVs. </w:t>
      </w:r>
    </w:p>
    <w:p w14:paraId="6517966A" w14:textId="2023C97D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Expand electric vehicle revenue opportunities.</w:t>
      </w:r>
    </w:p>
    <w:p w14:paraId="4EB9D2BE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A dedicated electrification team to create an ecosystem for electric vehicles. </w:t>
      </w:r>
    </w:p>
    <w:p w14:paraId="4A57EFEE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Embrace partnerships, remain active in merger and acquisition, and collaborate to accelerate research and development. </w:t>
      </w:r>
    </w:p>
    <w:p w14:paraId="31391423" w14:textId="4ACB16C6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The plan aligns with Ford's strategy and strengths, including a leading position in trucks and SUVs, as well as strong supply chain partnerships.</w:t>
      </w:r>
    </w:p>
    <w:p w14:paraId="531944F1" w14:textId="7A5FD0DB" w:rsidR="00C974EA" w:rsidRDefault="00C974EA" w:rsidP="0087185F">
      <w:pPr>
        <w:pStyle w:val="Heading2"/>
        <w:spacing w:before="120" w:line="360" w:lineRule="auto"/>
      </w:pPr>
      <w:r>
        <w:lastRenderedPageBreak/>
        <w:t>Slide #6</w:t>
      </w:r>
      <w:r w:rsidRPr="00C974EA">
        <w:drawing>
          <wp:inline distT="0" distB="0" distL="0" distR="0" wp14:anchorId="261351C5" wp14:editId="26BA3A39">
            <wp:extent cx="5731510" cy="3225165"/>
            <wp:effectExtent l="0" t="0" r="2540" b="0"/>
            <wp:docPr id="1643542945" name="Picture 1" descr="Strategic portfolio management is t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2945" name="Picture 1" descr="Strategic portfolio management is the 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9D48" w14:textId="4CD57416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Strategic </w:t>
      </w:r>
      <w:r w:rsidR="0061779A">
        <w:rPr>
          <w:rFonts w:ascii="Open Sans" w:hAnsi="Open Sans" w:cs="Open Sans"/>
          <w:sz w:val="24"/>
          <w:szCs w:val="24"/>
        </w:rPr>
        <w:t>p</w:t>
      </w:r>
      <w:r w:rsidRPr="00DD35BE">
        <w:rPr>
          <w:rFonts w:ascii="Open Sans" w:hAnsi="Open Sans" w:cs="Open Sans"/>
          <w:sz w:val="24"/>
          <w:szCs w:val="24"/>
        </w:rPr>
        <w:t xml:space="preserve">ortfolio </w:t>
      </w:r>
      <w:r w:rsidR="0061779A">
        <w:rPr>
          <w:rFonts w:ascii="Open Sans" w:hAnsi="Open Sans" w:cs="Open Sans"/>
          <w:sz w:val="24"/>
          <w:szCs w:val="24"/>
        </w:rPr>
        <w:t>m</w:t>
      </w:r>
      <w:r w:rsidRPr="00DD35BE">
        <w:rPr>
          <w:rFonts w:ascii="Open Sans" w:hAnsi="Open Sans" w:cs="Open Sans"/>
          <w:sz w:val="24"/>
          <w:szCs w:val="24"/>
        </w:rPr>
        <w:t>anagement is an advanced management practice that aligns projects, programs, and operational activities with the strategic objectives and priorities of an organization.</w:t>
      </w:r>
    </w:p>
    <w:p w14:paraId="5C99C7E6" w14:textId="77777777" w:rsidR="0061779A" w:rsidRDefault="0061779A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B70BD00" w14:textId="77777777" w:rsidR="0061779A" w:rsidRDefault="0061779A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670BD36" w14:textId="7C29D699" w:rsidR="00C974EA" w:rsidRDefault="00C974EA" w:rsidP="0087185F">
      <w:pPr>
        <w:pStyle w:val="Heading2"/>
        <w:spacing w:before="120" w:line="360" w:lineRule="auto"/>
      </w:pPr>
      <w:r>
        <w:lastRenderedPageBreak/>
        <w:t>Slide #7</w:t>
      </w:r>
      <w:r w:rsidRPr="00C974EA">
        <w:drawing>
          <wp:inline distT="0" distB="0" distL="0" distR="0" wp14:anchorId="2C79E6A0" wp14:editId="54486004">
            <wp:extent cx="5731510" cy="3236595"/>
            <wp:effectExtent l="0" t="0" r="2540" b="1905"/>
            <wp:docPr id="429048264" name="Picture 1" descr="Purpose of Strategic Portfolio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48264" name="Picture 1" descr="Purpose of Strategic Portfolio Manag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AA6E" w14:textId="6145C6F8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Strategic </w:t>
      </w:r>
      <w:r w:rsidR="0061779A">
        <w:rPr>
          <w:rFonts w:ascii="Open Sans" w:hAnsi="Open Sans" w:cs="Open Sans"/>
          <w:sz w:val="24"/>
          <w:szCs w:val="24"/>
        </w:rPr>
        <w:t>p</w:t>
      </w:r>
      <w:r w:rsidRPr="00DD35BE">
        <w:rPr>
          <w:rFonts w:ascii="Open Sans" w:hAnsi="Open Sans" w:cs="Open Sans"/>
          <w:sz w:val="24"/>
          <w:szCs w:val="24"/>
        </w:rPr>
        <w:t xml:space="preserve">ortfolio </w:t>
      </w:r>
      <w:r w:rsidR="0061779A">
        <w:rPr>
          <w:rFonts w:ascii="Open Sans" w:hAnsi="Open Sans" w:cs="Open Sans"/>
          <w:sz w:val="24"/>
          <w:szCs w:val="24"/>
        </w:rPr>
        <w:t>m</w:t>
      </w:r>
      <w:r w:rsidRPr="00DD35BE">
        <w:rPr>
          <w:rFonts w:ascii="Open Sans" w:hAnsi="Open Sans" w:cs="Open Sans"/>
          <w:sz w:val="24"/>
          <w:szCs w:val="24"/>
        </w:rPr>
        <w:t>anagement is crucial because it helps organizations Prioritize and select the right initiatives.</w:t>
      </w:r>
    </w:p>
    <w:p w14:paraId="6564081B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It ensures resources are optimally allocated to projects that maximize business value and support the organization's </w:t>
      </w:r>
      <w:r w:rsidR="0061779A" w:rsidRPr="00DD35BE">
        <w:rPr>
          <w:rFonts w:ascii="Open Sans" w:hAnsi="Open Sans" w:cs="Open Sans"/>
          <w:sz w:val="24"/>
          <w:szCs w:val="24"/>
        </w:rPr>
        <w:t>long-term</w:t>
      </w:r>
      <w:r w:rsidRPr="00DD35BE">
        <w:rPr>
          <w:rFonts w:ascii="Open Sans" w:hAnsi="Open Sans" w:cs="Open Sans"/>
          <w:sz w:val="24"/>
          <w:szCs w:val="24"/>
        </w:rPr>
        <w:t xml:space="preserve"> strategy. </w:t>
      </w:r>
    </w:p>
    <w:p w14:paraId="4EB42579" w14:textId="4D98438B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This alignment is vital in today's rapidly changing business environment, where agility and strategic adaptation are key to sustainability and growth.</w:t>
      </w:r>
    </w:p>
    <w:p w14:paraId="73540C95" w14:textId="2645A6F5" w:rsidR="00C974EA" w:rsidRDefault="00C974EA" w:rsidP="0087185F">
      <w:pPr>
        <w:pStyle w:val="Heading2"/>
        <w:spacing w:before="120" w:line="360" w:lineRule="auto"/>
      </w:pPr>
      <w:r>
        <w:lastRenderedPageBreak/>
        <w:t>Slide #8</w:t>
      </w:r>
      <w:r w:rsidRPr="00C974EA">
        <w:drawing>
          <wp:inline distT="0" distB="0" distL="0" distR="0" wp14:anchorId="0E321194" wp14:editId="17007BDF">
            <wp:extent cx="5731510" cy="3230880"/>
            <wp:effectExtent l="0" t="0" r="2540" b="7620"/>
            <wp:docPr id="1423892574" name="Picture 1" descr="Portfolio Management Frame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92574" name="Picture 1" descr="Portfolio Management Framework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06B6" w14:textId="77777777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A robust portfolio management framework shall include the following major components.</w:t>
      </w:r>
    </w:p>
    <w:p w14:paraId="62A4895A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Define clear portfolio objectives, which are aligned with strategy and business goals. </w:t>
      </w:r>
    </w:p>
    <w:p w14:paraId="57E8D823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A systematic process to prioritize portfolios, set investment criteria, and assess risk and value</w:t>
      </w:r>
      <w:r w:rsidR="0061779A">
        <w:rPr>
          <w:rFonts w:ascii="Open Sans" w:hAnsi="Open Sans" w:cs="Open Sans"/>
          <w:sz w:val="24"/>
          <w:szCs w:val="24"/>
        </w:rPr>
        <w:t xml:space="preserve"> e</w:t>
      </w:r>
      <w:r w:rsidRPr="00DD35BE">
        <w:rPr>
          <w:rFonts w:ascii="Open Sans" w:hAnsi="Open Sans" w:cs="Open Sans"/>
          <w:sz w:val="24"/>
          <w:szCs w:val="24"/>
        </w:rPr>
        <w:t xml:space="preserve">nsures consistent decisions to allocate investment and develop an implementation plan. </w:t>
      </w:r>
    </w:p>
    <w:p w14:paraId="4A2755D3" w14:textId="62EDCD46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A performance management mechanism to monitor implementation, as well as communicate progress and changes.</w:t>
      </w:r>
    </w:p>
    <w:p w14:paraId="53884003" w14:textId="77777777" w:rsidR="00C974EA" w:rsidRDefault="00C974EA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747C3F5" w14:textId="767C76D0" w:rsidR="00C974EA" w:rsidRDefault="00C974EA" w:rsidP="0087185F">
      <w:pPr>
        <w:pStyle w:val="Heading2"/>
        <w:spacing w:before="120" w:line="360" w:lineRule="auto"/>
      </w:pPr>
      <w:r>
        <w:lastRenderedPageBreak/>
        <w:t>Slide #9</w:t>
      </w:r>
      <w:r w:rsidRPr="00C974EA">
        <w:drawing>
          <wp:inline distT="0" distB="0" distL="0" distR="0" wp14:anchorId="1072A040" wp14:editId="581E4587">
            <wp:extent cx="5731510" cy="3230880"/>
            <wp:effectExtent l="0" t="0" r="2540" b="7620"/>
            <wp:docPr id="3318082" name="Picture 1" descr="Portfolio Management Frame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082" name="Picture 1" descr="Portfolio Management Framework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3F48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Portfolio </w:t>
      </w:r>
      <w:r w:rsidR="0061779A">
        <w:rPr>
          <w:rFonts w:ascii="Open Sans" w:hAnsi="Open Sans" w:cs="Open Sans"/>
          <w:sz w:val="24"/>
          <w:szCs w:val="24"/>
        </w:rPr>
        <w:t>m</w:t>
      </w:r>
      <w:r w:rsidRPr="00DD35BE">
        <w:rPr>
          <w:rFonts w:ascii="Open Sans" w:hAnsi="Open Sans" w:cs="Open Sans"/>
          <w:sz w:val="24"/>
          <w:szCs w:val="24"/>
        </w:rPr>
        <w:t xml:space="preserve">anagement </w:t>
      </w:r>
      <w:r w:rsidR="0061779A">
        <w:rPr>
          <w:rFonts w:ascii="Open Sans" w:hAnsi="Open Sans" w:cs="Open Sans"/>
          <w:sz w:val="24"/>
          <w:szCs w:val="24"/>
        </w:rPr>
        <w:t>s</w:t>
      </w:r>
      <w:r w:rsidRPr="00DD35BE">
        <w:rPr>
          <w:rFonts w:ascii="Open Sans" w:hAnsi="Open Sans" w:cs="Open Sans"/>
          <w:sz w:val="24"/>
          <w:szCs w:val="24"/>
        </w:rPr>
        <w:t xml:space="preserve">hould follow operational principles that include close collaboration with the business to translate strategic and business goals into portfolio objectives. </w:t>
      </w:r>
    </w:p>
    <w:p w14:paraId="197B251F" w14:textId="02C6DF5C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This approach ensures that portfolio decisions are transparent and based on consistent prioritization criteria and a </w:t>
      </w:r>
      <w:r w:rsidR="0061779A" w:rsidRPr="00DD35BE">
        <w:rPr>
          <w:rFonts w:ascii="Open Sans" w:hAnsi="Open Sans" w:cs="Open Sans"/>
          <w:sz w:val="24"/>
          <w:szCs w:val="24"/>
        </w:rPr>
        <w:t>decision-making</w:t>
      </w:r>
      <w:r w:rsidRPr="00DD35BE">
        <w:rPr>
          <w:rFonts w:ascii="Open Sans" w:hAnsi="Open Sans" w:cs="Open Sans"/>
          <w:sz w:val="24"/>
          <w:szCs w:val="24"/>
        </w:rPr>
        <w:t xml:space="preserve"> process.</w:t>
      </w:r>
    </w:p>
    <w:p w14:paraId="5690825A" w14:textId="41BF919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Portfolio management must remain unbiased and objective to facilitate informed decision</w:t>
      </w:r>
      <w:r w:rsidR="0061779A"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 xml:space="preserve">making. </w:t>
      </w:r>
    </w:p>
    <w:p w14:paraId="7913C86B" w14:textId="77777777" w:rsidR="0061779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 xml:space="preserve">It should foster an agile and entrepreneurial culture by leveraging partnership capabilities to develop and deliver innovative products. </w:t>
      </w:r>
    </w:p>
    <w:p w14:paraId="58650AB6" w14:textId="6D413178" w:rsidR="0087185F" w:rsidRPr="00DD35BE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Efficient portfolio management aims to minimize bureaucracy and excessive analysis and documentation.</w:t>
      </w:r>
    </w:p>
    <w:p w14:paraId="2B192CC6" w14:textId="3758C448" w:rsidR="00C974EA" w:rsidRDefault="0087185F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Additionally, management should be encouraged to consider external options from partners alongside internal ideas.</w:t>
      </w:r>
    </w:p>
    <w:p w14:paraId="0735EFCA" w14:textId="032B6F1C" w:rsidR="00C974EA" w:rsidRDefault="00C974EA" w:rsidP="0087185F">
      <w:pPr>
        <w:pStyle w:val="Heading2"/>
        <w:spacing w:before="120" w:line="360" w:lineRule="auto"/>
      </w:pPr>
      <w:r>
        <w:lastRenderedPageBreak/>
        <w:t>Slide #10</w:t>
      </w:r>
      <w:r w:rsidRPr="00C974EA">
        <w:drawing>
          <wp:inline distT="0" distB="0" distL="0" distR="0" wp14:anchorId="59DE0C92" wp14:editId="4C1DF22C">
            <wp:extent cx="5731510" cy="3227705"/>
            <wp:effectExtent l="0" t="0" r="2540" b="0"/>
            <wp:docPr id="2024178586" name="Picture 1" descr="Next: Portfolio Management Case Stu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78586" name="Picture 1" descr="Next: Portfolio Management Case Stud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8186" w14:textId="26757F69" w:rsidR="005E3CB1" w:rsidRPr="00DD35BE" w:rsidRDefault="00000000" w:rsidP="0087185F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D35BE">
        <w:rPr>
          <w:rFonts w:ascii="Open Sans" w:hAnsi="Open Sans" w:cs="Open Sans"/>
          <w:sz w:val="24"/>
          <w:szCs w:val="24"/>
        </w:rPr>
        <w:t>In the next video, we will use Ford's strategic plan as an example to present how to use portfolio management tools for decision</w:t>
      </w:r>
      <w:r w:rsidR="0061779A">
        <w:rPr>
          <w:rFonts w:ascii="Open Sans" w:hAnsi="Open Sans" w:cs="Open Sans"/>
          <w:sz w:val="24"/>
          <w:szCs w:val="24"/>
        </w:rPr>
        <w:t>-</w:t>
      </w:r>
      <w:r w:rsidRPr="00DD35BE">
        <w:rPr>
          <w:rFonts w:ascii="Open Sans" w:hAnsi="Open Sans" w:cs="Open Sans"/>
          <w:sz w:val="24"/>
          <w:szCs w:val="24"/>
        </w:rPr>
        <w:t>making.</w:t>
      </w:r>
    </w:p>
    <w:sectPr w:rsidR="005E3CB1" w:rsidRPr="00DD3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32223C"/>
    <w:multiLevelType w:val="hybridMultilevel"/>
    <w:tmpl w:val="0BF89530"/>
    <w:lvl w:ilvl="0" w:tplc="CB72578A">
      <w:start w:val="1"/>
      <w:numFmt w:val="bullet"/>
      <w:lvlText w:val="●"/>
      <w:lvlJc w:val="left"/>
      <w:pPr>
        <w:ind w:left="720" w:hanging="360"/>
      </w:pPr>
    </w:lvl>
    <w:lvl w:ilvl="1" w:tplc="E55A6858">
      <w:start w:val="1"/>
      <w:numFmt w:val="bullet"/>
      <w:lvlText w:val="○"/>
      <w:lvlJc w:val="left"/>
      <w:pPr>
        <w:ind w:left="1440" w:hanging="360"/>
      </w:pPr>
    </w:lvl>
    <w:lvl w:ilvl="2" w:tplc="693EE2A4">
      <w:start w:val="1"/>
      <w:numFmt w:val="bullet"/>
      <w:lvlText w:val="■"/>
      <w:lvlJc w:val="left"/>
      <w:pPr>
        <w:ind w:left="2160" w:hanging="360"/>
      </w:pPr>
    </w:lvl>
    <w:lvl w:ilvl="3" w:tplc="6DE461E6">
      <w:start w:val="1"/>
      <w:numFmt w:val="bullet"/>
      <w:lvlText w:val="●"/>
      <w:lvlJc w:val="left"/>
      <w:pPr>
        <w:ind w:left="2880" w:hanging="360"/>
      </w:pPr>
    </w:lvl>
    <w:lvl w:ilvl="4" w:tplc="1FAEA908">
      <w:start w:val="1"/>
      <w:numFmt w:val="bullet"/>
      <w:lvlText w:val="○"/>
      <w:lvlJc w:val="left"/>
      <w:pPr>
        <w:ind w:left="3600" w:hanging="360"/>
      </w:pPr>
    </w:lvl>
    <w:lvl w:ilvl="5" w:tplc="086ED6A6">
      <w:start w:val="1"/>
      <w:numFmt w:val="bullet"/>
      <w:lvlText w:val="■"/>
      <w:lvlJc w:val="left"/>
      <w:pPr>
        <w:ind w:left="4320" w:hanging="360"/>
      </w:pPr>
    </w:lvl>
    <w:lvl w:ilvl="6" w:tplc="2B3E4B06">
      <w:start w:val="1"/>
      <w:numFmt w:val="bullet"/>
      <w:lvlText w:val="●"/>
      <w:lvlJc w:val="left"/>
      <w:pPr>
        <w:ind w:left="5040" w:hanging="360"/>
      </w:pPr>
    </w:lvl>
    <w:lvl w:ilvl="7" w:tplc="9A82DFAA">
      <w:start w:val="1"/>
      <w:numFmt w:val="bullet"/>
      <w:lvlText w:val="●"/>
      <w:lvlJc w:val="left"/>
      <w:pPr>
        <w:ind w:left="5760" w:hanging="360"/>
      </w:pPr>
    </w:lvl>
    <w:lvl w:ilvl="8" w:tplc="F7EE0A96">
      <w:start w:val="1"/>
      <w:numFmt w:val="bullet"/>
      <w:lvlText w:val="●"/>
      <w:lvlJc w:val="left"/>
      <w:pPr>
        <w:ind w:left="6480" w:hanging="360"/>
      </w:pPr>
    </w:lvl>
  </w:abstractNum>
  <w:num w:numId="1" w16cid:durableId="779955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CB1"/>
    <w:rsid w:val="005E3CB1"/>
    <w:rsid w:val="0061779A"/>
    <w:rsid w:val="0087185F"/>
    <w:rsid w:val="00915D78"/>
    <w:rsid w:val="00C974EA"/>
    <w:rsid w:val="00DD3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8A562"/>
  <w15:docId w15:val="{42DEE914-727C-4D13-B7D9-4A008D82B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DD35BE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C974EA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759</Words>
  <Characters>4327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M5L19 - Strategic Transformation</vt:lpstr>
    </vt:vector>
  </TitlesOfParts>
  <Company/>
  <LinksUpToDate>false</LinksUpToDate>
  <CharactersWithSpaces>5076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Strategic Transformation</dc:title>
  <dc:creator>Un-named</dc:creator>
  <cp:lastModifiedBy>Williams, Elisabeth G</cp:lastModifiedBy>
  <cp:revision>2</cp:revision>
  <cp:lastPrinted>2024-08-08T17:43:00Z</cp:lastPrinted>
  <dcterms:created xsi:type="dcterms:W3CDTF">2024-08-08T17:43:00Z</dcterms:created>
  <dcterms:modified xsi:type="dcterms:W3CDTF">2024-08-08T17:43:00Z</dcterms:modified>
</cp:coreProperties>
</file>